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微软雅黑" w:hAnsi="微软雅黑" w:eastAsia="微软雅黑" w:cs="微软雅黑"/>
          <w:b/>
          <w:bCs/>
          <w:i w:val="0"/>
          <w:iCs w:val="0"/>
          <w:caps w:val="0"/>
          <w:color w:val="333333"/>
          <w:spacing w:val="0"/>
          <w:sz w:val="44"/>
          <w:szCs w:val="44"/>
          <w:shd w:val="clear" w:color="auto" w:fill="FFFFFF"/>
        </w:rPr>
      </w:pPr>
      <w:r>
        <w:rPr>
          <w:rFonts w:hint="eastAsia" w:ascii="微软雅黑" w:hAnsi="微软雅黑" w:eastAsia="微软雅黑" w:cs="微软雅黑"/>
          <w:b/>
          <w:bCs/>
          <w:i w:val="0"/>
          <w:iCs w:val="0"/>
          <w:caps w:val="0"/>
          <w:color w:val="333333"/>
          <w:spacing w:val="0"/>
          <w:sz w:val="44"/>
          <w:szCs w:val="44"/>
          <w:shd w:val="clear" w:color="auto" w:fill="FFFFFF"/>
        </w:rPr>
        <w:t>绥化市安达生态环境局环境影响评价文件审批决定的公告</w:t>
      </w:r>
    </w:p>
    <w:p>
      <w:pPr>
        <w:ind w:firstLine="640" w:firstLineChars="200"/>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据建设项目环境影响评价审批程序的有关规定，经审查，20</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24</w:t>
      </w:r>
      <w:r>
        <w:rPr>
          <w:rFonts w:hint="eastAsia" w:ascii="仿宋_GB2312" w:hAnsi="仿宋_GB2312"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10</w:t>
      </w:r>
      <w:r>
        <w:rPr>
          <w:rFonts w:hint="eastAsia" w:ascii="仿宋_GB2312" w:hAnsi="仿宋_GB2312" w:eastAsia="仿宋_GB2312" w:cs="仿宋_GB2312"/>
          <w:i w:val="0"/>
          <w:iCs w:val="0"/>
          <w:caps w:val="0"/>
          <w:color w:val="333333"/>
          <w:spacing w:val="0"/>
          <w:sz w:val="32"/>
          <w:szCs w:val="32"/>
          <w:shd w:val="clear" w:color="auto" w:fill="FFFFFF"/>
        </w:rPr>
        <w:t>月</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21</w:t>
      </w:r>
      <w:r>
        <w:rPr>
          <w:rFonts w:hint="eastAsia" w:ascii="仿宋_GB2312" w:hAnsi="仿宋_GB2312" w:eastAsia="仿宋_GB2312" w:cs="仿宋_GB2312"/>
          <w:i w:val="0"/>
          <w:iCs w:val="0"/>
          <w:caps w:val="0"/>
          <w:color w:val="333333"/>
          <w:spacing w:val="0"/>
          <w:sz w:val="32"/>
          <w:szCs w:val="32"/>
          <w:shd w:val="clear" w:color="auto" w:fill="FFFFFF"/>
        </w:rPr>
        <w:t>日我局对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个建设项目作出环境影响评价文件审批决定。现将作出的审批决定情况予以公告。</w:t>
      </w:r>
      <w:r>
        <w:rPr>
          <w:rFonts w:hint="eastAsia" w:ascii="仿宋_GB2312" w:hAnsi="仿宋_GB2312" w:eastAsia="仿宋_GB2312" w:cs="仿宋_GB2312"/>
          <w:i w:val="0"/>
          <w:iCs w:val="0"/>
          <w:caps w:val="0"/>
          <w:color w:val="333333"/>
          <w:spacing w:val="0"/>
          <w:sz w:val="32"/>
          <w:szCs w:val="32"/>
          <w:shd w:val="clear" w:color="auto" w:fill="FFFFFF"/>
        </w:rPr>
        <w:br w:type="textWrapping"/>
      </w:r>
      <w:r>
        <w:rPr>
          <w:rFonts w:hint="eastAsia" w:ascii="仿宋_GB2312" w:hAnsi="仿宋_GB2312" w:eastAsia="仿宋_GB2312" w:cs="仿宋_GB2312"/>
          <w:i w:val="0"/>
          <w:iCs w:val="0"/>
          <w:caps w:val="0"/>
          <w:color w:val="333333"/>
          <w:spacing w:val="0"/>
          <w:sz w:val="32"/>
          <w:szCs w:val="32"/>
          <w:shd w:val="clear" w:color="auto" w:fill="FFFFFF"/>
        </w:rPr>
        <w:t xml:space="preserve">    行政复议与行政诉讼权利告知：依据《中华人民共和国行政复议法》和《中华人民共和国行政诉讼法》，公民、法人或者其他组织认为公告的建设项目</w:t>
      </w:r>
      <w:r>
        <w:rPr>
          <w:rFonts w:hint="eastAsia" w:ascii="仿宋_GB2312" w:hAnsi="仿宋_GB2312" w:eastAsia="仿宋_GB2312" w:cs="仿宋_GB2312"/>
          <w:i w:val="0"/>
          <w:iCs w:val="0"/>
          <w:caps w:val="0"/>
          <w:color w:val="333333"/>
          <w:spacing w:val="0"/>
          <w:sz w:val="32"/>
          <w:szCs w:val="32"/>
          <w:shd w:val="clear" w:color="auto" w:fill="FFFFFF"/>
          <w:lang w:eastAsia="zh-CN"/>
        </w:rPr>
        <w:t>审批</w:t>
      </w:r>
      <w:r>
        <w:rPr>
          <w:rFonts w:hint="eastAsia" w:ascii="仿宋_GB2312" w:hAnsi="仿宋_GB2312" w:eastAsia="仿宋_GB2312" w:cs="仿宋_GB2312"/>
          <w:i w:val="0"/>
          <w:iCs w:val="0"/>
          <w:caps w:val="0"/>
          <w:color w:val="333333"/>
          <w:spacing w:val="0"/>
          <w:sz w:val="32"/>
          <w:szCs w:val="32"/>
          <w:shd w:val="clear" w:color="auto" w:fill="FFFFFF"/>
        </w:rPr>
        <w:t>决定侵犯其合法权益的，可以自公告期限届满之日起六十日内提</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FFFFFF"/>
        </w:rPr>
        <w:t xml:space="preserve">起行政复议，也可以自公告期限届满之日起三个月内提起行政诉讼。 </w:t>
      </w:r>
      <w:r>
        <w:rPr>
          <w:rFonts w:hint="eastAsia" w:ascii="仿宋_GB2312" w:hAnsi="仿宋_GB2312" w:eastAsia="仿宋_GB2312" w:cs="仿宋_GB2312"/>
          <w:i w:val="0"/>
          <w:iCs w:val="0"/>
          <w:caps w:val="0"/>
          <w:color w:val="333333"/>
          <w:spacing w:val="0"/>
          <w:sz w:val="32"/>
          <w:szCs w:val="32"/>
          <w:shd w:val="clear" w:color="auto" w:fill="FFFFFF"/>
        </w:rPr>
        <w:br w:type="textWrapping"/>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联系电话：0455-7349716</w:t>
      </w:r>
      <w:r>
        <w:rPr>
          <w:rFonts w:hint="eastAsia" w:ascii="仿宋_GB2312" w:hAnsi="仿宋_GB2312" w:eastAsia="仿宋_GB2312" w:cs="仿宋_GB2312"/>
          <w:i w:val="0"/>
          <w:iCs w:val="0"/>
          <w:caps w:val="0"/>
          <w:color w:val="333333"/>
          <w:spacing w:val="0"/>
          <w:sz w:val="32"/>
          <w:szCs w:val="32"/>
          <w:shd w:val="clear" w:color="auto" w:fill="FFFFFF"/>
        </w:rPr>
        <w:br w:type="textWrapping"/>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通讯地址：黑龙江省绥化市安达生态环境局</w:t>
      </w:r>
      <w:r>
        <w:rPr>
          <w:rFonts w:hint="eastAsia" w:ascii="仿宋_GB2312" w:hAnsi="仿宋_GB2312" w:eastAsia="仿宋_GB2312" w:cs="仿宋_GB2312"/>
          <w:i w:val="0"/>
          <w:iCs w:val="0"/>
          <w:caps w:val="0"/>
          <w:color w:val="333333"/>
          <w:spacing w:val="0"/>
          <w:sz w:val="32"/>
          <w:szCs w:val="32"/>
          <w:shd w:val="clear" w:color="auto" w:fill="FFFFFF"/>
        </w:rPr>
        <w:br w:type="textWrapping"/>
      </w: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 xml:space="preserve">邮 编：151400 </w:t>
      </w:r>
      <w:r>
        <w:rPr>
          <w:rFonts w:hint="eastAsia" w:ascii="仿宋_GB2312" w:hAnsi="仿宋_GB2312" w:eastAsia="仿宋_GB2312" w:cs="仿宋_GB2312"/>
          <w:i w:val="0"/>
          <w:iCs w:val="0"/>
          <w:caps w:val="0"/>
          <w:color w:val="333333"/>
          <w:spacing w:val="0"/>
          <w:sz w:val="32"/>
          <w:szCs w:val="32"/>
          <w:shd w:val="clear" w:color="auto" w:fill="FFFFFF"/>
        </w:rPr>
        <w:br w:type="textWrapping"/>
      </w:r>
      <w:r>
        <w:rPr>
          <w:rFonts w:hint="eastAsia" w:ascii="仿宋_GB2312" w:hAnsi="仿宋_GB2312" w:eastAsia="仿宋_GB2312" w:cs="仿宋_GB2312"/>
          <w:i w:val="0"/>
          <w:iCs w:val="0"/>
          <w:caps w:val="0"/>
          <w:color w:val="333333"/>
          <w:spacing w:val="0"/>
          <w:sz w:val="32"/>
          <w:szCs w:val="32"/>
          <w:shd w:val="clear" w:color="auto" w:fill="FFFFFF"/>
        </w:rPr>
        <w:t xml:space="preserve">作出的建设项目环境影响评价文件审批决定 </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tbl>
      <w:tblPr>
        <w:tblStyle w:val="13"/>
        <w:tblW w:w="0" w:type="auto"/>
        <w:tblInd w:w="0" w:type="dxa"/>
        <w:tblLayout w:type="fixed"/>
        <w:tblCellMar>
          <w:top w:w="0" w:type="dxa"/>
          <w:left w:w="108" w:type="dxa"/>
          <w:bottom w:w="0" w:type="dxa"/>
          <w:right w:w="108" w:type="dxa"/>
        </w:tblCellMar>
      </w:tblPr>
      <w:tblGrid>
        <w:gridCol w:w="675"/>
        <w:gridCol w:w="3585"/>
        <w:gridCol w:w="2131"/>
        <w:gridCol w:w="2131"/>
      </w:tblGrid>
      <w:tr>
        <w:tblPrEx>
          <w:tblCellMar>
            <w:top w:w="0" w:type="dxa"/>
            <w:left w:w="108" w:type="dxa"/>
            <w:bottom w:w="0" w:type="dxa"/>
            <w:right w:w="108" w:type="dxa"/>
          </w:tblCellMar>
        </w:tblPrEx>
        <w:trPr>
          <w:trHeight w:val="1016"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00" w:after="100" w:line="330" w:lineRule="atLeas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444444"/>
                <w:kern w:val="0"/>
                <w:sz w:val="21"/>
                <w:szCs w:val="21"/>
              </w:rPr>
              <w:t>序号</w:t>
            </w:r>
          </w:p>
        </w:tc>
        <w:tc>
          <w:tcPr>
            <w:tcW w:w="3585" w:type="dxa"/>
            <w:tcBorders>
              <w:top w:val="single" w:color="000000" w:sz="4" w:space="0"/>
              <w:left w:val="nil"/>
              <w:bottom w:val="single" w:color="000000" w:sz="4" w:space="0"/>
              <w:right w:val="single" w:color="000000" w:sz="4" w:space="0"/>
            </w:tcBorders>
            <w:noWrap w:val="0"/>
            <w:vAlign w:val="top"/>
          </w:tcPr>
          <w:p>
            <w:pPr>
              <w:widowControl/>
              <w:spacing w:before="100" w:after="100" w:line="330" w:lineRule="atLeas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444444"/>
                <w:kern w:val="0"/>
                <w:sz w:val="21"/>
                <w:szCs w:val="21"/>
              </w:rPr>
              <w:t>文件名称</w:t>
            </w:r>
          </w:p>
        </w:tc>
        <w:tc>
          <w:tcPr>
            <w:tcW w:w="2131" w:type="dxa"/>
            <w:tcBorders>
              <w:top w:val="single" w:color="000000" w:sz="4" w:space="0"/>
              <w:left w:val="nil"/>
              <w:bottom w:val="single" w:color="000000" w:sz="4" w:space="0"/>
              <w:right w:val="single" w:color="000000" w:sz="4" w:space="0"/>
            </w:tcBorders>
            <w:noWrap w:val="0"/>
            <w:vAlign w:val="top"/>
          </w:tcPr>
          <w:p>
            <w:pPr>
              <w:widowControl/>
              <w:spacing w:before="100" w:after="100" w:line="330" w:lineRule="atLeas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444444"/>
                <w:kern w:val="0"/>
                <w:sz w:val="21"/>
                <w:szCs w:val="21"/>
              </w:rPr>
              <w:t>文号</w:t>
            </w:r>
          </w:p>
        </w:tc>
        <w:tc>
          <w:tcPr>
            <w:tcW w:w="2131" w:type="dxa"/>
            <w:tcBorders>
              <w:top w:val="single" w:color="000000" w:sz="4" w:space="0"/>
              <w:left w:val="nil"/>
              <w:bottom w:val="single" w:color="000000" w:sz="4" w:space="0"/>
              <w:right w:val="single" w:color="000000" w:sz="4" w:space="0"/>
            </w:tcBorders>
            <w:noWrap w:val="0"/>
            <w:vAlign w:val="top"/>
          </w:tcPr>
          <w:p>
            <w:pPr>
              <w:widowControl/>
              <w:spacing w:before="100" w:after="100" w:line="330" w:lineRule="atLeas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444444"/>
                <w:kern w:val="0"/>
                <w:sz w:val="21"/>
                <w:szCs w:val="21"/>
              </w:rPr>
              <w:t>发文时间</w:t>
            </w:r>
          </w:p>
        </w:tc>
      </w:tr>
      <w:tr>
        <w:tblPrEx>
          <w:tblCellMar>
            <w:top w:w="0" w:type="dxa"/>
            <w:left w:w="108" w:type="dxa"/>
            <w:bottom w:w="0" w:type="dxa"/>
            <w:right w:w="108" w:type="dxa"/>
          </w:tblCellMar>
        </w:tblPrEx>
        <w:trPr>
          <w:trHeight w:val="846"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585"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w:t>
            </w:r>
            <w:r>
              <w:rPr>
                <w:rFonts w:hint="default" w:ascii="仿宋_GB2312" w:hAnsi="仿宋_GB2312" w:eastAsia="仿宋_GB2312" w:cs="仿宋_GB2312"/>
                <w:sz w:val="21"/>
                <w:szCs w:val="21"/>
                <w:lang w:val="en-US" w:eastAsia="zh-CN"/>
              </w:rPr>
              <w:t>安达市佰联花炮有限责任公司异地新建烟花爆竹仓库建设项目</w:t>
            </w:r>
            <w:r>
              <w:rPr>
                <w:rFonts w:hint="eastAsia" w:ascii="仿宋_GB2312" w:hAnsi="仿宋_GB2312" w:eastAsia="仿宋_GB2312" w:cs="仿宋_GB2312"/>
                <w:sz w:val="21"/>
                <w:szCs w:val="21"/>
                <w:lang w:val="en-US" w:eastAsia="zh-CN"/>
              </w:rPr>
              <w:t>环境影响报告表的批复</w:t>
            </w:r>
          </w:p>
          <w:p>
            <w:pPr>
              <w:jc w:val="center"/>
              <w:rPr>
                <w:rFonts w:hint="default" w:ascii="仿宋_GB2312" w:hAnsi="仿宋_GB2312" w:eastAsia="仿宋_GB2312" w:cs="仿宋_GB2312"/>
                <w:sz w:val="21"/>
                <w:szCs w:val="21"/>
                <w:lang w:val="en-US" w:eastAsia="zh-CN"/>
              </w:rPr>
            </w:pPr>
          </w:p>
        </w:tc>
        <w:tc>
          <w:tcPr>
            <w:tcW w:w="2131"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安环审〔2024〕20号</w:t>
            </w:r>
          </w:p>
        </w:tc>
        <w:tc>
          <w:tcPr>
            <w:tcW w:w="2131"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2024年10月21日</w:t>
            </w:r>
          </w:p>
        </w:tc>
      </w:tr>
      <w:tr>
        <w:tblPrEx>
          <w:tblCellMar>
            <w:top w:w="0" w:type="dxa"/>
            <w:left w:w="108" w:type="dxa"/>
            <w:bottom w:w="0" w:type="dxa"/>
            <w:right w:w="108" w:type="dxa"/>
          </w:tblCellMar>
        </w:tblPrEx>
        <w:trPr>
          <w:trHeight w:val="441"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585"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关于安达市古大湖镇土地整治补充耕地项目（二期）环境影响报告表的批复</w:t>
            </w:r>
          </w:p>
          <w:p>
            <w:pPr>
              <w:jc w:val="center"/>
              <w:rPr>
                <w:rFonts w:hint="default" w:ascii="仿宋_GB2312" w:hAnsi="仿宋_GB2312" w:eastAsia="仿宋_GB2312" w:cs="仿宋_GB2312"/>
                <w:sz w:val="21"/>
                <w:szCs w:val="21"/>
                <w:lang w:val="en-US" w:eastAsia="zh-CN"/>
              </w:rPr>
            </w:pPr>
          </w:p>
        </w:tc>
        <w:tc>
          <w:tcPr>
            <w:tcW w:w="2131"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安环审〔2024〕21号</w:t>
            </w:r>
          </w:p>
        </w:tc>
        <w:tc>
          <w:tcPr>
            <w:tcW w:w="2131"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2024年10月21日</w:t>
            </w:r>
          </w:p>
        </w:tc>
      </w:tr>
      <w:tr>
        <w:tblPrEx>
          <w:tblCellMar>
            <w:top w:w="0" w:type="dxa"/>
            <w:left w:w="108" w:type="dxa"/>
            <w:bottom w:w="0" w:type="dxa"/>
            <w:right w:w="108" w:type="dxa"/>
          </w:tblCellMar>
        </w:tblPrEx>
        <w:trPr>
          <w:trHeight w:val="819"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585"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关于安达市先源乡土地整治补充耕地项目环境影响报告表的批复</w:t>
            </w:r>
          </w:p>
          <w:p>
            <w:pPr>
              <w:jc w:val="center"/>
              <w:rPr>
                <w:rFonts w:hint="default" w:ascii="仿宋_GB2312" w:hAnsi="仿宋_GB2312" w:eastAsia="仿宋_GB2312" w:cs="仿宋_GB2312"/>
                <w:sz w:val="21"/>
                <w:szCs w:val="21"/>
                <w:lang w:val="en-US" w:eastAsia="zh-CN"/>
              </w:rPr>
            </w:pPr>
          </w:p>
        </w:tc>
        <w:tc>
          <w:tcPr>
            <w:tcW w:w="2131"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安环审〔2024〕22号</w:t>
            </w:r>
          </w:p>
        </w:tc>
        <w:tc>
          <w:tcPr>
            <w:tcW w:w="2131" w:type="dxa"/>
            <w:tcBorders>
              <w:top w:val="single" w:color="000000" w:sz="4" w:space="0"/>
              <w:left w:val="nil"/>
              <w:bottom w:val="single" w:color="000000" w:sz="4" w:space="0"/>
              <w:right w:val="single" w:color="000000" w:sz="4" w:space="0"/>
            </w:tcBorders>
            <w:noWrap w:val="0"/>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2024年10月21日</w:t>
            </w:r>
          </w:p>
        </w:tc>
      </w:tr>
    </w:tbl>
    <w:p>
      <w:pPr>
        <w:pStyle w:val="2"/>
        <w:rPr>
          <w:rFonts w:hint="eastAsia" w:ascii="仿宋_GB2312" w:hAnsi="仿宋_GB2312" w:eastAsia="仿宋_GB2312" w:cs="仿宋_GB2312"/>
          <w:sz w:val="28"/>
          <w:szCs w:val="28"/>
        </w:rPr>
      </w:pPr>
    </w:p>
    <w:p>
      <w:pPr>
        <w:pStyle w:val="2"/>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绥化市安达生态环境局</w:t>
      </w:r>
    </w:p>
    <w:p>
      <w:pPr>
        <w:jc w:val="right"/>
        <w:rPr>
          <w:rFonts w:hint="default"/>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TNhZTU0M2YwYWY5NGRjNjZkNzM2OGQzNTY5MzkifQ=="/>
  </w:docVars>
  <w:rsids>
    <w:rsidRoot w:val="00662184"/>
    <w:rsid w:val="00134ADA"/>
    <w:rsid w:val="002E4086"/>
    <w:rsid w:val="003753FE"/>
    <w:rsid w:val="004B03C0"/>
    <w:rsid w:val="00662184"/>
    <w:rsid w:val="00824B79"/>
    <w:rsid w:val="00831AFC"/>
    <w:rsid w:val="00BA7732"/>
    <w:rsid w:val="00C64F6D"/>
    <w:rsid w:val="04F764A0"/>
    <w:rsid w:val="084F4273"/>
    <w:rsid w:val="0D716B5B"/>
    <w:rsid w:val="108D5EAB"/>
    <w:rsid w:val="122D6784"/>
    <w:rsid w:val="13ED6291"/>
    <w:rsid w:val="1A896419"/>
    <w:rsid w:val="33760127"/>
    <w:rsid w:val="338E55B5"/>
    <w:rsid w:val="37993211"/>
    <w:rsid w:val="4E61464C"/>
    <w:rsid w:val="5802470C"/>
    <w:rsid w:val="611E4CE6"/>
    <w:rsid w:val="64845716"/>
    <w:rsid w:val="699D2A3E"/>
    <w:rsid w:val="6BFB5D4B"/>
    <w:rsid w:val="6C437E83"/>
    <w:rsid w:val="6E0E1F5C"/>
    <w:rsid w:val="6E112CDC"/>
    <w:rsid w:val="70A325EE"/>
    <w:rsid w:val="79F57C9B"/>
    <w:rsid w:val="7CA3770C"/>
    <w:rsid w:val="7D4679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qFormat/>
    <w:uiPriority w:val="0"/>
    <w:pPr>
      <w:widowControl/>
      <w:spacing w:before="100" w:beforeAutospacing="1" w:after="100" w:afterAutospacing="1" w:line="600" w:lineRule="atLeast"/>
      <w:jc w:val="left"/>
      <w:outlineLvl w:val="0"/>
    </w:pPr>
    <w:rPr>
      <w:rFonts w:ascii="微软雅黑" w:hAnsi="宋体" w:eastAsia="微软雅黑" w:cs="宋体"/>
      <w:color w:val="326D00"/>
      <w:kern w:val="36"/>
      <w:sz w:val="33"/>
      <w:szCs w:val="33"/>
    </w:rPr>
  </w:style>
  <w:style w:type="paragraph" w:styleId="2">
    <w:name w:val="heading 4"/>
    <w:basedOn w:val="1"/>
    <w:next w:val="1"/>
    <w:qFormat/>
    <w:uiPriority w:val="0"/>
    <w:pPr>
      <w:keepNext/>
      <w:keepLines/>
      <w:spacing w:line="377"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Normal Indent"/>
    <w:basedOn w:val="1"/>
    <w:next w:val="5"/>
    <w:unhideWhenUsed/>
    <w:qFormat/>
    <w:uiPriority w:val="99"/>
    <w:pPr>
      <w:ind w:firstLine="420" w:firstLineChars="200"/>
    </w:pPr>
    <w:rPr>
      <w:szCs w:val="21"/>
    </w:rPr>
  </w:style>
  <w:style w:type="paragraph" w:styleId="5">
    <w:name w:val="Title"/>
    <w:basedOn w:val="1"/>
    <w:next w:val="1"/>
    <w:qFormat/>
    <w:uiPriority w:val="0"/>
    <w:pPr>
      <w:spacing w:before="240" w:after="60"/>
      <w:jc w:val="left"/>
      <w:outlineLvl w:val="0"/>
    </w:pPr>
    <w:rPr>
      <w:rFonts w:ascii="Cambria" w:hAnsi="Cambria" w:eastAsia="黑体"/>
      <w:b/>
      <w:sz w:val="32"/>
      <w:szCs w:val="32"/>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qFormat/>
    <w:uiPriority w:val="0"/>
    <w:pPr>
      <w:spacing w:after="120"/>
      <w:ind w:left="420" w:leftChars="200"/>
    </w:pPr>
    <w:rPr>
      <w:kern w:val="0"/>
      <w:sz w:val="24"/>
      <w:szCs w:val="20"/>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spacing w:line="240" w:lineRule="exact"/>
      <w:jc w:val="center"/>
    </w:pPr>
    <w:rPr>
      <w:rFonts w:ascii="仿宋_GB2312" w:eastAsia="仿宋_GB2312"/>
      <w:szCs w:val="20"/>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next w:val="1"/>
    <w:qFormat/>
    <w:uiPriority w:val="0"/>
    <w:pPr>
      <w:spacing w:after="120" w:line="240" w:lineRule="auto"/>
      <w:ind w:left="420" w:leftChars="200" w:firstLine="420" w:firstLineChars="200"/>
    </w:pPr>
    <w:rPr>
      <w:sz w:val="21"/>
    </w:rPr>
  </w:style>
  <w:style w:type="character" w:styleId="15">
    <w:name w:val="Hyperlink"/>
    <w:basedOn w:val="14"/>
    <w:uiPriority w:val="0"/>
    <w:rPr>
      <w:color w:val="444444"/>
      <w:u w:val="none"/>
    </w:rPr>
  </w:style>
  <w:style w:type="paragraph" w:customStyle="1" w:styleId="16">
    <w:name w:val="p2"/>
    <w:basedOn w:val="1"/>
    <w:uiPriority w:val="0"/>
    <w:pPr>
      <w:widowControl/>
      <w:spacing w:before="180" w:after="100" w:afterAutospacing="1"/>
      <w:ind w:firstLine="480"/>
      <w:jc w:val="left"/>
    </w:pPr>
    <w:rPr>
      <w:rFonts w:ascii="宋体" w:hAnsi="宋体" w:cs="宋体"/>
      <w:kern w:val="0"/>
      <w:szCs w:val="21"/>
    </w:rPr>
  </w:style>
  <w:style w:type="paragraph" w:customStyle="1" w:styleId="17">
    <w:name w:val=" Char Char Char Char"/>
    <w:basedOn w:val="1"/>
    <w:semiHidden/>
    <w:uiPriority w:val="0"/>
  </w:style>
  <w:style w:type="paragraph" w:customStyle="1" w:styleId="18">
    <w:name w:val="表格内"/>
    <w:basedOn w:val="10"/>
    <w:next w:val="1"/>
    <w:qFormat/>
    <w:uiPriority w:val="0"/>
    <w:pPr>
      <w:tabs>
        <w:tab w:val="left" w:pos="3480"/>
      </w:tabs>
      <w:spacing w:line="360" w:lineRule="exact"/>
    </w:pPr>
    <w:rPr>
      <w:rFonts w:eastAsia="Times New Roman"/>
      <w:snapToGrid w:val="0"/>
      <w:szCs w:val="21"/>
    </w:rPr>
  </w:style>
  <w:style w:type="paragraph" w:customStyle="1" w:styleId="19">
    <w:name w:val="Normal (Web)1"/>
    <w:basedOn w:val="1"/>
    <w:next w:val="20"/>
    <w:qFormat/>
    <w:uiPriority w:val="0"/>
    <w:pPr>
      <w:widowControl/>
    </w:pPr>
    <w:rPr>
      <w:rFonts w:ascii="宋体" w:eastAsia="宋体" w:cs="Times New Roman"/>
      <w:sz w:val="24"/>
      <w:szCs w:val="21"/>
    </w:rPr>
  </w:style>
  <w:style w:type="paragraph" w:customStyle="1" w:styleId="20">
    <w:name w:val="Date1"/>
    <w:basedOn w:val="1"/>
    <w:next w:val="1"/>
    <w:qFormat/>
    <w:uiPriority w:val="0"/>
    <w:pPr>
      <w:ind w:left="2500" w:leftChars="25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480</Words>
  <Characters>536</Characters>
  <Lines>2</Lines>
  <Paragraphs>1</Paragraphs>
  <TotalTime>0</TotalTime>
  <ScaleCrop>false</ScaleCrop>
  <LinksUpToDate>false</LinksUpToDate>
  <CharactersWithSpaces>557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2019-06-26T07:39:00Z</dcterms:created>
  <dc:creator>User</dc:creator>
  <cp:lastModifiedBy>windwos</cp:lastModifiedBy>
  <cp:lastPrinted>2015-08-06T07:35:00Z</cp:lastPrinted>
  <dcterms:modified xsi:type="dcterms:W3CDTF">2024-10-21T01:35:02Z</dcterms:modified>
  <dc:title>绥化市环保局（环评二科）关于作出黑龙江省绥棱县鹏程加油站新建绥棱县鹏程加油站建设项目竣工环境保护验收决定的公告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B6B2C2AA955A4387A1934C90B195CBBC_13</vt:lpwstr>
  </property>
</Properties>
</file>