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2878" w:leftChars="456" w:hanging="1920" w:hangingChars="400"/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</w:pPr>
    </w:p>
    <w:p>
      <w:pPr>
        <w:ind w:left="2878" w:leftChars="456" w:hanging="1920" w:hangingChars="400"/>
        <w:rPr>
          <w:rFonts w:hint="default" w:ascii="仿宋_GB2312" w:hAnsi="仿宋_GB2312" w:eastAsia="仿宋_GB2312" w:cs="仿宋_GB2312"/>
          <w:sz w:val="48"/>
          <w:szCs w:val="48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sz w:val="48"/>
          <w:szCs w:val="48"/>
          <w:lang w:val="en-US" w:eastAsia="zh-CN"/>
        </w:rPr>
        <w:t>2024年符合政府安排工作条件退役士兵安置计划</w:t>
      </w:r>
    </w:p>
    <w:bookmarkEnd w:id="0"/>
    <w:p>
      <w:pPr>
        <w:ind w:firstLine="640" w:firstLineChars="200"/>
        <w:rPr>
          <w:rFonts w:hint="eastAsia" w:ascii="黑体" w:hAnsi="黑体" w:eastAsia="黑体" w:cs="楷体_GB2312"/>
          <w:bCs/>
          <w:sz w:val="32"/>
          <w:szCs w:val="32"/>
        </w:rPr>
      </w:pPr>
    </w:p>
    <w:p>
      <w:pPr>
        <w:ind w:firstLine="640" w:firstLineChars="200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一、做好符合政府安排工作条件退役士兵的安置工作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2024年是中华人民共和国成立75周年，是实现“十四五”规划目标任务的关键一年。要将退役士兵移交安置工作列入重要议事日程，强化责任担当，强力推进落实。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各相关单位务必高度重视，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要切实履行好接收安置退役士兵的主体责任，高质量落实符合政府安排工作条件退役士兵的工作岗位和相关待遇，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确保年度安置任务圆满完成。</w:t>
      </w:r>
    </w:p>
    <w:p>
      <w:pPr>
        <w:jc w:val="center"/>
        <w:rPr>
          <w:rFonts w:hint="eastAsia" w:ascii="黑体" w:hAnsi="黑体" w:eastAsia="黑体" w:cs="楷体_GB2312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二、做好退役士兵待安置期间的服务和管理工作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退役军人事务局要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统筹做好退役士兵待安置期的教育管理和服务保障工作。加强安置政策宣传培训和保密教育，通过多种方式，引导退役士兵尽快实现身份转变。</w:t>
      </w:r>
      <w:r>
        <w:rPr>
          <w:rFonts w:hint="eastAsia" w:ascii="仿宋_GB2312" w:hAnsi="仿宋_GB2312" w:eastAsia="仿宋_GB2312" w:cs="仿宋_GB2312"/>
          <w:sz w:val="32"/>
          <w:szCs w:val="32"/>
        </w:rPr>
        <w:t>鼓励退役士兵坚持学习，提高自身素质和修养，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提升</w:t>
      </w:r>
      <w:r>
        <w:rPr>
          <w:rFonts w:hint="eastAsia" w:ascii="仿宋_GB2312" w:hAnsi="仿宋_GB2312" w:eastAsia="仿宋_GB2312" w:cs="仿宋_GB2312"/>
          <w:sz w:val="32"/>
          <w:szCs w:val="32"/>
        </w:rPr>
        <w:t>自身的工作能力和水平。激发退役士兵责任感和荣誉感，使退役士兵更珍惜当兵历史，爱护军人荣誉，自觉遵纪守法，顺利度过待分配时期，愉快走向新的工作岗位，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并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highlight w:val="none"/>
          <w:lang w:bidi="ar"/>
        </w:rPr>
        <w:t>充分发挥生力军作用</w:t>
      </w: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bidi="ar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待安置期间，退役军人事务局要按照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《关于进一步加强由政府安排工作退役士兵就业安置工作的意见》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退役军人部发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〔</w:t>
      </w: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18〕27</w:t>
      </w:r>
      <w:r>
        <w:rPr>
          <w:rFonts w:hint="eastAsia" w:ascii="仿宋_GB2312" w:hAnsi="仿宋_GB2312" w:eastAsia="仿宋_GB2312" w:cs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文件</w:t>
      </w:r>
      <w:r>
        <w:rPr>
          <w:rFonts w:hint="eastAsia" w:ascii="仿宋_GB2312" w:hAnsi="仿宋_GB2312" w:eastAsia="仿宋_GB2312" w:cs="仿宋_GB2312"/>
          <w:sz w:val="32"/>
          <w:szCs w:val="32"/>
        </w:rPr>
        <w:t>的相关规定及时发放退役士兵生活费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和和社会保险接续工作，所需资金由市财政承担。</w:t>
      </w:r>
    </w:p>
    <w:p>
      <w:pPr>
        <w:ind w:firstLine="640" w:firstLineChars="200"/>
        <w:rPr>
          <w:rFonts w:hint="eastAsia" w:ascii="黑体" w:hAnsi="黑体" w:eastAsia="黑体" w:cs="楷体_GB2312"/>
          <w:bCs/>
          <w:sz w:val="32"/>
          <w:szCs w:val="32"/>
        </w:rPr>
      </w:pPr>
      <w:r>
        <w:rPr>
          <w:rFonts w:hint="eastAsia" w:ascii="黑体" w:hAnsi="黑体" w:eastAsia="黑体" w:cs="楷体_GB2312"/>
          <w:bCs/>
          <w:sz w:val="32"/>
          <w:szCs w:val="32"/>
        </w:rPr>
        <w:t>三、做好退役士兵接收工作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承担符合政府安排工作条件退役士兵接收安置工作任务的单位，应当按时完成安置任务：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退役军人事务局要按规定向接收单位移交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退役士兵档案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等相关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手续。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2.退役士兵接到分配工作通知以后，退役军人事务部门应当给退役士兵开具《退役士兵安排工作介绍信》，退役士兵持《介绍信》到接收单位报到；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接收单位要在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退役军人事务局开出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介绍信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1个月内安排退役士兵上岗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；对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不及时领取《介绍信》或未按时报到的退役士兵按规定作“视为放弃安排工作待遇”处理。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机关、群团组织、事业单位接收安置转业军官、安排工作的军士和义务兵的，应当按照国家有关规定给予编制保障。国有企业接收安置转业军官、安排工作的军士和义务兵的，应当按照国家规定与其签订劳动合同，保障相应待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</w:t>
      </w:r>
      <w:r>
        <w:rPr>
          <w:rFonts w:hint="eastAsia" w:ascii="仿宋_GB2312" w:hAnsi="仿宋_GB2312" w:eastAsia="仿宋_GB2312" w:cs="仿宋_GB2312"/>
          <w:sz w:val="32"/>
          <w:szCs w:val="32"/>
        </w:rPr>
        <w:t>非退役士兵本人原因，接收单位未按规定安排退役士兵上岗的，应当从退役军人事务局开出介绍信当月起，按照不低于本单位同等条件人员平均工资80%的标准逐月发给退役士兵生活费至其上岗为止。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sz w:val="32"/>
          <w:szCs w:val="32"/>
        </w:rPr>
        <w:t>符合政府安排工作条件的退役士兵，服现役年限和符合《退役士兵安置条例》规定的待安排工作时间计算为工龄，享受所在单位同等条件人员的工资、福利待遇。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拒绝或者无故拖延执行人民政府下达的安排退役士兵工作任务的；未依法与退役士兵签订劳动合同、聘用合同的；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由退役军人事务局责令限期改正。逾期不改的，对单位主要负责人和直接责任人员依法给予处分，对企业按照涉及退役士兵人数乘以当地上年度城镇职工平均工资10倍的金额处以罚款，并对接收单位及其主要负责人予以通报批评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ind w:left="1278" w:leftChars="304" w:hanging="640" w:hangingChars="200"/>
        <w:jc w:val="left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</w:t>
      </w:r>
      <w:r>
        <w:rPr>
          <w:rFonts w:hint="eastAsia" w:ascii="仿宋_GB2312" w:hAnsi="仿宋_GB2312" w:eastAsia="仿宋_GB2312" w:cs="仿宋_GB2312"/>
          <w:sz w:val="32"/>
          <w:szCs w:val="32"/>
        </w:rPr>
        <w:t>年符合政府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安排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工作条件退役士兵安置计划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岗位明细</w:t>
      </w:r>
      <w:r>
        <w:rPr>
          <w:rFonts w:hint="eastAsia" w:ascii="仿宋_GB2312" w:hAnsi="仿宋_GB2312" w:eastAsia="仿宋_GB2312" w:cs="仿宋_GB2312"/>
          <w:sz w:val="32"/>
          <w:szCs w:val="32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</w:t>
      </w:r>
    </w:p>
    <w:p>
      <w:pPr>
        <w:jc w:val="both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安达市人民政府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rPr>
          <w:rFonts w:hint="eastAsia" w:ascii="仿宋_GB2312" w:hAnsi="仿宋_GB2312" w:eastAsia="仿宋_GB2312" w:cs="仿宋_GB2312"/>
          <w:sz w:val="32"/>
          <w:szCs w:val="32"/>
        </w:rPr>
      </w:pPr>
    </w:p>
    <w:tbl>
      <w:tblPr>
        <w:tblStyle w:val="3"/>
        <w:tblpPr w:leftFromText="180" w:rightFromText="180" w:vertAnchor="text" w:horzAnchor="page" w:tblpX="1710" w:tblpY="100"/>
        <w:tblOverlap w:val="never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4"/>
        <w:gridCol w:w="2446"/>
        <w:gridCol w:w="1011"/>
        <w:gridCol w:w="2592"/>
        <w:gridCol w:w="1069"/>
        <w:gridCol w:w="8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5000" w:type="pct"/>
            <w:gridSpan w:val="6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楷体_GB2312" w:hAnsi="楷体_GB2312" w:eastAsia="黑体" w:cs="楷体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20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val="en-US" w:eastAsia="zh-CN"/>
              </w:rPr>
              <w:t>24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年度符合政府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安排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</w:rPr>
              <w:t>工作条件退役士兵安置计划</w:t>
            </w:r>
            <w:r>
              <w:rPr>
                <w:rFonts w:hint="eastAsia" w:ascii="黑体" w:hAnsi="黑体" w:eastAsia="黑体" w:cs="黑体"/>
                <w:b/>
                <w:bCs/>
                <w:sz w:val="30"/>
                <w:szCs w:val="30"/>
                <w:lang w:eastAsia="zh-CN"/>
              </w:rPr>
              <w:t>岗位明细表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</w:trPr>
        <w:tc>
          <w:tcPr>
            <w:tcW w:w="3886" w:type="pct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接收单位</w:t>
            </w:r>
          </w:p>
        </w:tc>
        <w:tc>
          <w:tcPr>
            <w:tcW w:w="627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安置</w:t>
            </w:r>
          </w:p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计划数</w:t>
            </w:r>
          </w:p>
        </w:tc>
        <w:tc>
          <w:tcPr>
            <w:tcW w:w="485" w:type="pct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337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val="en-US" w:eastAsia="zh-CN"/>
              </w:rPr>
              <w:t>序号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单位</w:t>
            </w: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名称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  <w:t>单位性质</w:t>
            </w:r>
          </w:p>
        </w:tc>
        <w:tc>
          <w:tcPr>
            <w:tcW w:w="1520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  <w:lang w:eastAsia="zh-CN"/>
              </w:rPr>
              <w:t>岗位名称</w:t>
            </w:r>
          </w:p>
        </w:tc>
        <w:tc>
          <w:tcPr>
            <w:tcW w:w="627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</w:p>
        </w:tc>
        <w:tc>
          <w:tcPr>
            <w:tcW w:w="485" w:type="pct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1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非机动车服务中心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事业单位</w:t>
            </w:r>
          </w:p>
        </w:tc>
        <w:tc>
          <w:tcPr>
            <w:tcW w:w="1520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办事员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2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安达市开发区发展策划中心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事业单位</w:t>
            </w:r>
          </w:p>
        </w:tc>
        <w:tc>
          <w:tcPr>
            <w:tcW w:w="15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办事员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b w:val="0"/>
                <w:bCs w:val="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3</w:t>
            </w:r>
          </w:p>
        </w:tc>
        <w:tc>
          <w:tcPr>
            <w:tcW w:w="143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中国工商银行股份有限公司</w:t>
            </w:r>
          </w:p>
        </w:tc>
        <w:tc>
          <w:tcPr>
            <w:tcW w:w="593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央直企业</w:t>
            </w:r>
          </w:p>
        </w:tc>
        <w:tc>
          <w:tcPr>
            <w:tcW w:w="1520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客服经理</w:t>
            </w:r>
          </w:p>
        </w:tc>
        <w:tc>
          <w:tcPr>
            <w:tcW w:w="627" w:type="pct"/>
            <w:noWrap w:val="0"/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485" w:type="pct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86" w:type="pct"/>
            <w:gridSpan w:val="4"/>
            <w:noWrap w:val="0"/>
            <w:vAlign w:val="center"/>
          </w:tcPr>
          <w:p>
            <w:pPr>
              <w:jc w:val="right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合计：</w:t>
            </w:r>
          </w:p>
        </w:tc>
        <w:tc>
          <w:tcPr>
            <w:tcW w:w="1113" w:type="pct"/>
            <w:gridSpan w:val="2"/>
            <w:noWrap w:val="0"/>
            <w:vAlign w:val="center"/>
          </w:tcPr>
          <w:p>
            <w:pPr>
              <w:ind w:firstLine="320" w:firstLineChars="100"/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3</w:t>
            </w:r>
          </w:p>
        </w:tc>
      </w:tr>
    </w:tbl>
    <w:p>
      <w:pPr>
        <w:tabs>
          <w:tab w:val="left" w:pos="1287"/>
        </w:tabs>
        <w:bidi w:val="0"/>
        <w:jc w:val="left"/>
        <w:rPr>
          <w:rFonts w:hint="eastAsia"/>
          <w:lang w:val="en-US" w:eastAsia="zh-CN"/>
        </w:rPr>
      </w:pPr>
    </w:p>
    <w:sectPr>
      <w:pgSz w:w="11906" w:h="16838"/>
      <w:pgMar w:top="82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hZDlmNDE4NDZlYjU1MmMwYWY2ODJmZjdiMjFlZDYifQ=="/>
  </w:docVars>
  <w:rsids>
    <w:rsidRoot w:val="00F3449F"/>
    <w:rsid w:val="00227CC7"/>
    <w:rsid w:val="00F3449F"/>
    <w:rsid w:val="02700A3C"/>
    <w:rsid w:val="0530678A"/>
    <w:rsid w:val="0C7B02EA"/>
    <w:rsid w:val="0ED2737C"/>
    <w:rsid w:val="0EE4486D"/>
    <w:rsid w:val="119C1F64"/>
    <w:rsid w:val="127C300E"/>
    <w:rsid w:val="12FA28ED"/>
    <w:rsid w:val="14F371D1"/>
    <w:rsid w:val="14FC106D"/>
    <w:rsid w:val="159F14ED"/>
    <w:rsid w:val="16A663A1"/>
    <w:rsid w:val="183E4AE3"/>
    <w:rsid w:val="18E45469"/>
    <w:rsid w:val="19D11E91"/>
    <w:rsid w:val="1A3F504D"/>
    <w:rsid w:val="252C18CF"/>
    <w:rsid w:val="28246C20"/>
    <w:rsid w:val="29AE6A92"/>
    <w:rsid w:val="2DC0339E"/>
    <w:rsid w:val="2E6B420B"/>
    <w:rsid w:val="2F9330E1"/>
    <w:rsid w:val="331F718C"/>
    <w:rsid w:val="34962D18"/>
    <w:rsid w:val="34E15E4E"/>
    <w:rsid w:val="36BB5F6A"/>
    <w:rsid w:val="37757EA8"/>
    <w:rsid w:val="37BC76F9"/>
    <w:rsid w:val="3C536FF7"/>
    <w:rsid w:val="3DA807CB"/>
    <w:rsid w:val="3E5251A3"/>
    <w:rsid w:val="3E7064AC"/>
    <w:rsid w:val="406D3E12"/>
    <w:rsid w:val="425A4C6F"/>
    <w:rsid w:val="44134CD1"/>
    <w:rsid w:val="44E84DE6"/>
    <w:rsid w:val="47406A8A"/>
    <w:rsid w:val="4A8C3664"/>
    <w:rsid w:val="4B6D116B"/>
    <w:rsid w:val="4D8407FE"/>
    <w:rsid w:val="4E292A1D"/>
    <w:rsid w:val="4E712D20"/>
    <w:rsid w:val="50ED28A1"/>
    <w:rsid w:val="52860D64"/>
    <w:rsid w:val="53161280"/>
    <w:rsid w:val="58F40C1B"/>
    <w:rsid w:val="5C37407D"/>
    <w:rsid w:val="5EE47091"/>
    <w:rsid w:val="659F45EB"/>
    <w:rsid w:val="6608323A"/>
    <w:rsid w:val="664D3C1B"/>
    <w:rsid w:val="664F0D9C"/>
    <w:rsid w:val="674C5390"/>
    <w:rsid w:val="67F959D5"/>
    <w:rsid w:val="69D0577F"/>
    <w:rsid w:val="6AD2649C"/>
    <w:rsid w:val="6B7F62D9"/>
    <w:rsid w:val="6E9A19C7"/>
    <w:rsid w:val="6EC66318"/>
    <w:rsid w:val="715F2A06"/>
    <w:rsid w:val="766E1DC6"/>
    <w:rsid w:val="795A4C19"/>
    <w:rsid w:val="7C6608CA"/>
    <w:rsid w:val="7DE831E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uiPriority w:val="0"/>
    <w:pPr>
      <w:widowControl w:val="0"/>
      <w:jc w:val="both"/>
    </w:pPr>
    <w:tblPr>
      <w:tblStyle w:val="3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  <w:color w:val="FFFFFF"/>
      <w:bdr w:val="single" w:color="DBECFF" w:sz="6" w:space="0"/>
      <w:shd w:val="clear" w:color="auto" w:fill="D02E1A"/>
    </w:rPr>
  </w:style>
  <w:style w:type="character" w:styleId="7">
    <w:name w:val="FollowedHyperlink"/>
    <w:basedOn w:val="5"/>
    <w:uiPriority w:val="0"/>
    <w:rPr>
      <w:color w:val="323232"/>
      <w:u w:val="none"/>
    </w:rPr>
  </w:style>
  <w:style w:type="character" w:styleId="8">
    <w:name w:val="Hyperlink"/>
    <w:basedOn w:val="5"/>
    <w:uiPriority w:val="0"/>
    <w:rPr>
      <w:color w:val="3232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1578</Words>
  <Characters>1619</Characters>
  <Lines>9</Lines>
  <Paragraphs>2</Paragraphs>
  <TotalTime>56</TotalTime>
  <ScaleCrop>false</ScaleCrop>
  <LinksUpToDate>false</LinksUpToDate>
  <CharactersWithSpaces>1620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windwos</cp:lastModifiedBy>
  <cp:lastPrinted>2023-08-11T03:27:31Z</cp:lastPrinted>
  <dcterms:modified xsi:type="dcterms:W3CDTF">2024-09-19T01:03:55Z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4C5EC3CECBFF47D8A847E0784F98CC5C_13</vt:lpwstr>
  </property>
</Properties>
</file>